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ПОЛОЖЕНИЕ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о 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Х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>VII республиканской педагогической ярмарке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 «Сельская школа &amp; Образовательная марка» 2019 г.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«Образование в социокультурном измерении»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            1. Общие положения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1.1. Настоящее Положение определяет порядок организации и проведения </w:t>
      </w:r>
      <w:proofErr w:type="gramStart"/>
      <w:r>
        <w:rPr>
          <w:rFonts w:ascii="Verdana" w:hAnsi="Verdana"/>
          <w:color w:val="000000"/>
          <w:sz w:val="21"/>
          <w:szCs w:val="21"/>
        </w:rPr>
        <w:t>Х</w:t>
      </w:r>
      <w:proofErr w:type="gramEnd"/>
      <w:r>
        <w:rPr>
          <w:rFonts w:ascii="Verdana" w:hAnsi="Verdana"/>
          <w:color w:val="000000"/>
          <w:sz w:val="21"/>
          <w:szCs w:val="21"/>
        </w:rPr>
        <w:t>VII республиканской педагогической ярмарки «Сельская школа &amp; Образовательная марка» (далее Ярмарка).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1.2. </w:t>
      </w:r>
      <w:r>
        <w:rPr>
          <w:rStyle w:val="a4"/>
          <w:rFonts w:ascii="Verdana" w:hAnsi="Verdana"/>
          <w:color w:val="000000"/>
          <w:sz w:val="21"/>
          <w:szCs w:val="21"/>
        </w:rPr>
        <w:t>Идея Ярмарки</w:t>
      </w:r>
      <w:r>
        <w:rPr>
          <w:rFonts w:ascii="Verdana" w:hAnsi="Verdana"/>
          <w:color w:val="000000"/>
          <w:sz w:val="21"/>
          <w:szCs w:val="21"/>
        </w:rPr>
        <w:t xml:space="preserve"> выражается в реализации национального проекта «Образование», Образовательной инициативы Республики Саха (Якутия) – 2030 «Школа, открытая в будущее» и Концепции социокультурной модернизации образования в Республике Саха (Якутия), играющих ключевую роль в целенаправленном формировании ценностных ориентаций, норм, установок и стереотипов поведения населения как ориентиров на образовательные результаты 2030. Образование становится системообразующим институтом в социально-экономической консолидации общества. Учет социокультурных эффектов образования позволит проектировать программы долгосрочного социально-экономического развития, обеспечивающие </w:t>
      </w:r>
      <w:proofErr w:type="gramStart"/>
      <w:r>
        <w:rPr>
          <w:rFonts w:ascii="Verdana" w:hAnsi="Verdana"/>
          <w:color w:val="000000"/>
          <w:sz w:val="21"/>
          <w:szCs w:val="21"/>
        </w:rPr>
        <w:t>конкурентоспособность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как образования, так и экономики региона, и дорожные карты движения к «Открытой школе – 2030», опирающиеся на реальный анализ социокультурной ситуации и, следовательно, соответствующие реальному положению дел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1.3. </w:t>
      </w:r>
      <w:r>
        <w:rPr>
          <w:rStyle w:val="a4"/>
          <w:rFonts w:ascii="Verdana" w:hAnsi="Verdana"/>
          <w:color w:val="000000"/>
          <w:sz w:val="21"/>
          <w:szCs w:val="21"/>
        </w:rPr>
        <w:t>Целью Ярмарки</w:t>
      </w:r>
      <w:r>
        <w:rPr>
          <w:rFonts w:ascii="Verdana" w:hAnsi="Verdana"/>
          <w:color w:val="000000"/>
          <w:sz w:val="21"/>
          <w:szCs w:val="21"/>
        </w:rPr>
        <w:t xml:space="preserve"> является поиск путей развития образовательных учреждений в контексте образовательной поддержки инновационного социально-экономического развития региона и муниципалитетов; </w:t>
      </w:r>
      <w:proofErr w:type="gramStart"/>
      <w:r>
        <w:rPr>
          <w:rFonts w:ascii="Verdana" w:hAnsi="Verdana"/>
          <w:color w:val="000000"/>
          <w:sz w:val="21"/>
          <w:szCs w:val="21"/>
        </w:rPr>
        <w:t>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определение приоритетных направлений образовательной политики и формирование содержательных линий по реализации национального проекта «Образование» и Образовательной инициативы РС (Я) «Школа, открытая в будущее».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1.4. </w:t>
      </w:r>
      <w:r>
        <w:rPr>
          <w:rStyle w:val="a4"/>
          <w:rFonts w:ascii="Verdana" w:hAnsi="Verdana"/>
          <w:color w:val="000000"/>
          <w:sz w:val="21"/>
          <w:szCs w:val="21"/>
        </w:rPr>
        <w:t>Задачи Ярмарки</w:t>
      </w:r>
      <w:r>
        <w:rPr>
          <w:rFonts w:ascii="Verdana" w:hAnsi="Verdana"/>
          <w:color w:val="000000"/>
          <w:sz w:val="21"/>
          <w:szCs w:val="21"/>
        </w:rPr>
        <w:t>: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• организация широкого обсуждения механизмов, технологий, дорожных карт образовательной поддержки социально-экономического развития населенных пунктов, муниципальных образований, республики;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• консолидация, объединение возможностей и ресурсов государственных, коммерческих и гражданских институтов в формировании будущего населенных пунктов;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• выработка технологии социокультурного проектирования как механизма развития поселений;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• определение основных направлений повышения квалификации нацеленных на создание условий для социализации обучающихся;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• создание и развитие предпринимательской среды в условиях малокомплектной школы и малых поселений;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• развитие государственно-общественного управления в образовании;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• диссеминация педагогического инновационного опыта в регионе;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• создание образовательного пространства, объединяющего педагогов и специалистов науки и культуры по проблемам духовно-нравственного воспитания, интеллектуального развития будущего общества;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• выработка и сформирование проектов для программы будущего.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1.5. </w:t>
      </w:r>
      <w:r>
        <w:rPr>
          <w:rStyle w:val="a4"/>
          <w:rFonts w:ascii="Verdana" w:hAnsi="Verdana"/>
          <w:color w:val="000000"/>
          <w:sz w:val="21"/>
          <w:szCs w:val="21"/>
        </w:rPr>
        <w:t>Принципы Ярмарки</w:t>
      </w:r>
      <w:r>
        <w:rPr>
          <w:rFonts w:ascii="Verdana" w:hAnsi="Verdana"/>
          <w:color w:val="000000"/>
          <w:sz w:val="21"/>
          <w:szCs w:val="21"/>
        </w:rPr>
        <w:t>: открытость, добровольность, сотрудничество, право выбора, демократичность, самоопределение.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1.6. </w:t>
      </w:r>
      <w:r>
        <w:rPr>
          <w:rStyle w:val="a4"/>
          <w:rFonts w:ascii="Verdana" w:hAnsi="Verdana"/>
          <w:color w:val="000000"/>
          <w:sz w:val="21"/>
          <w:szCs w:val="21"/>
        </w:rPr>
        <w:t>Участники Ярмарки</w:t>
      </w:r>
      <w:r>
        <w:rPr>
          <w:rFonts w:ascii="Verdana" w:hAnsi="Verdana"/>
          <w:color w:val="000000"/>
          <w:sz w:val="21"/>
          <w:szCs w:val="21"/>
        </w:rPr>
        <w:t>: образовательные учреждения, детские, молодежные, родительские и другие общественные организации, профессиональные сообщества, ведомственные учреждения и организации, представители бизнес структур, а также изъявившие желание физические и юридические лица, заинтересованные в развитии образования. Участие в Ярмарке добровольное. Участники представляют в Управление образования – организатора Ярмарки заявку. Участники могут выступать в разном качестве: проектанта, эксперта, аналитика.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1.7.     </w:t>
      </w:r>
      <w:r>
        <w:rPr>
          <w:rStyle w:val="a4"/>
          <w:rFonts w:ascii="Verdana" w:hAnsi="Verdana"/>
          <w:color w:val="000000"/>
          <w:sz w:val="21"/>
          <w:szCs w:val="21"/>
        </w:rPr>
        <w:t>Место проведения</w:t>
      </w:r>
      <w:r>
        <w:rPr>
          <w:rFonts w:ascii="Verdana" w:hAnsi="Verdana"/>
          <w:color w:val="000000"/>
          <w:sz w:val="21"/>
          <w:szCs w:val="21"/>
        </w:rPr>
        <w:t>: МР «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улус».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1.8.     </w:t>
      </w:r>
      <w:r>
        <w:rPr>
          <w:rStyle w:val="a4"/>
          <w:rFonts w:ascii="Verdana" w:hAnsi="Verdana"/>
          <w:color w:val="000000"/>
          <w:sz w:val="21"/>
          <w:szCs w:val="21"/>
        </w:rPr>
        <w:t>Время проведения</w:t>
      </w:r>
      <w:r>
        <w:rPr>
          <w:rFonts w:ascii="Verdana" w:hAnsi="Verdana"/>
          <w:color w:val="000000"/>
          <w:sz w:val="21"/>
          <w:szCs w:val="21"/>
        </w:rPr>
        <w:t>.  Ярмарка проводится </w:t>
      </w:r>
      <w:r>
        <w:rPr>
          <w:rStyle w:val="a4"/>
          <w:rFonts w:ascii="Verdana" w:hAnsi="Verdana"/>
          <w:color w:val="000000"/>
          <w:sz w:val="21"/>
          <w:szCs w:val="21"/>
        </w:rPr>
        <w:t>с 29 июня по 1 июля 2019 г.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      </w:t>
      </w:r>
      <w:r>
        <w:rPr>
          <w:rStyle w:val="a4"/>
          <w:rFonts w:ascii="Verdana" w:hAnsi="Verdana"/>
          <w:color w:val="000000"/>
          <w:sz w:val="21"/>
          <w:szCs w:val="21"/>
        </w:rPr>
        <w:t>29 июня</w:t>
      </w:r>
      <w:r>
        <w:rPr>
          <w:rFonts w:ascii="Verdana" w:hAnsi="Verdana"/>
          <w:color w:val="000000"/>
          <w:sz w:val="21"/>
          <w:szCs w:val="21"/>
        </w:rPr>
        <w:t xml:space="preserve"> – наслега 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улуса – Прием гостей, культурная программа.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      </w:t>
      </w:r>
      <w:r>
        <w:rPr>
          <w:rStyle w:val="a4"/>
          <w:rFonts w:ascii="Verdana" w:hAnsi="Verdana"/>
          <w:color w:val="000000"/>
          <w:sz w:val="21"/>
          <w:szCs w:val="21"/>
        </w:rPr>
        <w:t>30 июня</w:t>
      </w:r>
      <w:r>
        <w:rPr>
          <w:rFonts w:ascii="Verdana" w:hAnsi="Verdana"/>
          <w:color w:val="000000"/>
          <w:sz w:val="21"/>
          <w:szCs w:val="21"/>
        </w:rPr>
        <w:t xml:space="preserve"> – наслега 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улуса – Социокультурное проектирование по проблематике СКС наслегов                               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улуса; переговорные площадки, мастер-классы и пр. по программе наслегов.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      </w:t>
      </w:r>
      <w:r>
        <w:rPr>
          <w:rStyle w:val="a4"/>
          <w:rFonts w:ascii="Verdana" w:hAnsi="Verdana"/>
          <w:color w:val="000000"/>
          <w:sz w:val="21"/>
          <w:szCs w:val="21"/>
        </w:rPr>
        <w:t>30 июня</w:t>
      </w:r>
      <w:r>
        <w:rPr>
          <w:rFonts w:ascii="Verdana" w:hAnsi="Verdana"/>
          <w:color w:val="000000"/>
          <w:sz w:val="21"/>
          <w:szCs w:val="21"/>
        </w:rPr>
        <w:t xml:space="preserve">,   20.00 – Ытык-Кюель, м. </w:t>
      </w:r>
      <w:proofErr w:type="spellStart"/>
      <w:r>
        <w:rPr>
          <w:rFonts w:ascii="Verdana" w:hAnsi="Verdana"/>
          <w:color w:val="000000"/>
          <w:sz w:val="21"/>
          <w:szCs w:val="21"/>
        </w:rPr>
        <w:t>Хадаайы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Вечерний пленум (рефлексия первого рабочего дня                                         ярмарки).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      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1 июля</w:t>
      </w:r>
      <w:r>
        <w:rPr>
          <w:rFonts w:ascii="Verdana" w:hAnsi="Verdana"/>
          <w:color w:val="000000"/>
          <w:sz w:val="21"/>
          <w:szCs w:val="21"/>
        </w:rPr>
        <w:t xml:space="preserve"> – Ытык-Кюель, м. </w:t>
      </w:r>
      <w:proofErr w:type="spellStart"/>
      <w:r>
        <w:rPr>
          <w:rFonts w:ascii="Verdana" w:hAnsi="Verdana"/>
          <w:color w:val="000000"/>
          <w:sz w:val="21"/>
          <w:szCs w:val="21"/>
        </w:rPr>
        <w:t>Хадаайы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Переговорные площадки, Деревня мастеров, стендовая защита                                        проектов, мастер-классы, курсы повышения квалификации и т.п.</w:t>
      </w:r>
      <w:proofErr w:type="gramEnd"/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            2. Управление организацией проведения Ярмарки.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2.1.  Организаторами ярмарки являются АОУ РС (Я) ДПО «Институт развития образования и повышения квалификации им. </w:t>
      </w:r>
      <w:proofErr w:type="spellStart"/>
      <w:r>
        <w:rPr>
          <w:rFonts w:ascii="Verdana" w:hAnsi="Verdana"/>
          <w:color w:val="000000"/>
          <w:sz w:val="21"/>
          <w:szCs w:val="21"/>
        </w:rPr>
        <w:t>С.Н.Донского</w:t>
      </w:r>
      <w:proofErr w:type="spellEnd"/>
      <w:r>
        <w:rPr>
          <w:rFonts w:ascii="Verdana" w:hAnsi="Verdana"/>
          <w:color w:val="000000"/>
          <w:sz w:val="21"/>
          <w:szCs w:val="21"/>
        </w:rPr>
        <w:t>-</w:t>
      </w:r>
      <w:proofErr w:type="gramStart"/>
      <w:r>
        <w:rPr>
          <w:rFonts w:ascii="Verdana" w:hAnsi="Verdana"/>
          <w:color w:val="000000"/>
          <w:sz w:val="21"/>
          <w:szCs w:val="21"/>
        </w:rPr>
        <w:t>II</w:t>
      </w:r>
      <w:proofErr w:type="gramEnd"/>
      <w:r>
        <w:rPr>
          <w:rFonts w:ascii="Verdana" w:hAnsi="Verdana"/>
          <w:color w:val="000000"/>
          <w:sz w:val="21"/>
          <w:szCs w:val="21"/>
        </w:rPr>
        <w:t>», Информационно-образовательный центр «Круг», Ассоциация «Эврика-</w:t>
      </w:r>
      <w:proofErr w:type="spellStart"/>
      <w:r>
        <w:rPr>
          <w:rFonts w:ascii="Verdana" w:hAnsi="Verdana"/>
          <w:color w:val="000000"/>
          <w:sz w:val="21"/>
          <w:szCs w:val="21"/>
        </w:rPr>
        <w:t>Кэриэн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Уһуйуу</w:t>
      </w:r>
      <w:proofErr w:type="spellEnd"/>
      <w:r>
        <w:rPr>
          <w:rFonts w:ascii="Verdana" w:hAnsi="Verdana"/>
          <w:color w:val="000000"/>
          <w:sz w:val="21"/>
          <w:szCs w:val="21"/>
        </w:rPr>
        <w:t>», АНО ДПО «Центр инновационного развития образования», МКУ «Управление образования» МР «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улус» при участии Министерства образования и науки Республики Саха (Якутия).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2.2.   Министерство образования и науки Республики Саха (Якутия):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утверждает состав экспертного совета Министерства образования и науки Республики Саха (Якутия) из числа работников органов управлений образованием разного уровня, научных работников, представителей общественных организаций, лидеров инновационных площадок по своим номинациям;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обеспечивает координацию участников Ярмарки и межведомственное взаимодействие;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утверждает и награждает победителей Ярмарки по номинациям МО и Н РС (Я);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утверждает перечень инновационных площадок по итогам Ярмарки;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обеспечивает освещение проведения Ярмарки в средствах массовой информации.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2.3. АОУ РС (Я) ДПО «Институт развития образования и повышения квалификации им. </w:t>
      </w:r>
      <w:proofErr w:type="spellStart"/>
      <w:r>
        <w:rPr>
          <w:rFonts w:ascii="Verdana" w:hAnsi="Verdana"/>
          <w:color w:val="000000"/>
          <w:sz w:val="21"/>
          <w:szCs w:val="21"/>
        </w:rPr>
        <w:t>С.Н.Донского</w:t>
      </w:r>
      <w:proofErr w:type="spellEnd"/>
      <w:r>
        <w:rPr>
          <w:rFonts w:ascii="Verdana" w:hAnsi="Verdana"/>
          <w:color w:val="000000"/>
          <w:sz w:val="21"/>
          <w:szCs w:val="21"/>
        </w:rPr>
        <w:t>-</w:t>
      </w:r>
      <w:proofErr w:type="gramStart"/>
      <w:r>
        <w:rPr>
          <w:rFonts w:ascii="Verdana" w:hAnsi="Verdana"/>
          <w:color w:val="000000"/>
          <w:sz w:val="21"/>
          <w:szCs w:val="21"/>
        </w:rPr>
        <w:t>II</w:t>
      </w:r>
      <w:proofErr w:type="gramEnd"/>
      <w:r>
        <w:rPr>
          <w:rFonts w:ascii="Verdana" w:hAnsi="Verdana"/>
          <w:color w:val="000000"/>
          <w:sz w:val="21"/>
          <w:szCs w:val="21"/>
        </w:rPr>
        <w:t>»: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осуществляет организационное и методическое сопровождение проведения Ярмарки на сайте;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определяет основные направления согласно целям и задачам Ярмарки и потребностей участников, определенных в ходе виртуального этапа;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обеспечивает проведение курсов, проблемных площадок по актуальным проблемам;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создает экспертный совет по своим номинациям.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2.4. Информационно-образовательный центр «Круг», Ассоциация «Эврика-</w:t>
      </w:r>
      <w:proofErr w:type="spellStart"/>
      <w:r>
        <w:rPr>
          <w:rFonts w:ascii="Verdana" w:hAnsi="Verdana"/>
          <w:color w:val="000000"/>
          <w:sz w:val="21"/>
          <w:szCs w:val="21"/>
        </w:rPr>
        <w:t>Кэриэн</w:t>
      </w:r>
      <w:proofErr w:type="spellEnd"/>
      <w:proofErr w:type="gramStart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У</w:t>
      </w:r>
      <w:proofErr w:type="gramEnd"/>
      <w:r>
        <w:rPr>
          <w:rFonts w:ascii="Verdana" w:hAnsi="Verdana"/>
          <w:color w:val="000000"/>
          <w:sz w:val="21"/>
          <w:szCs w:val="21"/>
        </w:rPr>
        <w:t>һуйуу</w:t>
      </w:r>
      <w:proofErr w:type="spellEnd"/>
      <w:r>
        <w:rPr>
          <w:rFonts w:ascii="Verdana" w:hAnsi="Verdana"/>
          <w:color w:val="000000"/>
          <w:sz w:val="21"/>
          <w:szCs w:val="21"/>
        </w:rPr>
        <w:t>», АНО ДПО «Центр инновационного развития образования»: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определяет сроки и место проведения Ярмарки;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определяет основные направления согласно целям и задачам Ярмарки и потребностей участников.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организует проведение Ярмарки;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обеспечивает координацию участников Ярмарки;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определяет и руководит работой модераторов Ярмарки;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проводит переговорные площадки для достижения целей и задач Ярмарки;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обеспечивает проведение курсов, проблемных площадок по актуальным проблемам;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проводит экспертизу проектов по своим номинациям.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по итогам ярмарки определяет следующие шаги, механизмы развития общественного управления образованием.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2.5. МКУ «Управление образования» МР «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улус»: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организует проведение Ярмарки на территории муниципального района;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    • обеспечивает координацию участников Ярмарки и межведомственное взаимодействие;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создает экспертный совет для определения победителей Конкурсов на гранты из Фонда Ярмарки, глав муниципальных районов и спонсоров.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2.6. Общественные организации, представители </w:t>
      </w:r>
      <w:proofErr w:type="gramStart"/>
      <w:r>
        <w:rPr>
          <w:rFonts w:ascii="Verdana" w:hAnsi="Verdana"/>
          <w:color w:val="000000"/>
          <w:sz w:val="21"/>
          <w:szCs w:val="21"/>
        </w:rPr>
        <w:t>бизнес-сектора</w:t>
      </w:r>
      <w:proofErr w:type="gramEnd"/>
      <w:r>
        <w:rPr>
          <w:rFonts w:ascii="Verdana" w:hAnsi="Verdana"/>
          <w:color w:val="000000"/>
          <w:sz w:val="21"/>
          <w:szCs w:val="21"/>
        </w:rPr>
        <w:t>, частные лица: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участвуют в организации Ярмарки;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вносят предложения по определению направлений Ярмарки;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создают экспертный совет по своим номинациям;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учреждают призы.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      </w:t>
      </w:r>
      <w:r>
        <w:rPr>
          <w:rStyle w:val="a4"/>
          <w:rFonts w:ascii="Verdana" w:hAnsi="Verdana"/>
          <w:color w:val="000000"/>
          <w:sz w:val="21"/>
          <w:szCs w:val="21"/>
        </w:rPr>
        <w:t> 3.Формы проведения Ярмарки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3.1 Социокультурное проектирование, конкурсы инновационных проектов, методических разработок, переговорные, образовательные площадки, круглые столы, мастерские, мастер-классы, методические гостиные, выставки-продажи, курсы повышения квалификации, деревня мастеров, спортивные и культурные программы. </w:t>
      </w:r>
      <w:proofErr w:type="gramEnd"/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3.2.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Социокультурное проектирование по проводится по проблематике СКС наслегов 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улуса.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Участники работают в </w:t>
      </w:r>
      <w:proofErr w:type="spellStart"/>
      <w:r>
        <w:rPr>
          <w:rFonts w:ascii="Verdana" w:hAnsi="Verdana"/>
          <w:color w:val="000000"/>
          <w:sz w:val="21"/>
          <w:szCs w:val="21"/>
        </w:rPr>
        <w:t>межулусных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проектных группах, выбрав для себя проблему, схожую с проблемой своих наслегов.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3.3. С программой работы ярмарки в наслегах можно ознакомиться на сайте ярмарки по ссылкам на страницы наслегов 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улуса.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            4.Условия участия в Ярмарке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     • Оплата взноса от делегации муниципальных районов и городских округов в </w:t>
      </w:r>
      <w:proofErr w:type="spellStart"/>
      <w:r>
        <w:rPr>
          <w:rFonts w:ascii="Verdana" w:hAnsi="Verdana"/>
          <w:color w:val="000000"/>
          <w:sz w:val="21"/>
          <w:szCs w:val="21"/>
        </w:rPr>
        <w:t>грантовый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фонд Ярмарки в размере: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   </w:t>
      </w:r>
      <w:r>
        <w:rPr>
          <w:rStyle w:val="a4"/>
          <w:rFonts w:ascii="Verdana" w:hAnsi="Verdana"/>
          <w:color w:val="000000"/>
          <w:sz w:val="21"/>
          <w:szCs w:val="21"/>
        </w:rPr>
        <w:t> оплата до 20 июня</w:t>
      </w:r>
      <w:r>
        <w:rPr>
          <w:rFonts w:ascii="Verdana" w:hAnsi="Verdana"/>
          <w:color w:val="000000"/>
          <w:sz w:val="21"/>
          <w:szCs w:val="21"/>
        </w:rPr>
        <w:t> – </w:t>
      </w:r>
      <w:r>
        <w:rPr>
          <w:rStyle w:val="a4"/>
          <w:rFonts w:ascii="Verdana" w:hAnsi="Verdana"/>
          <w:color w:val="000000"/>
          <w:sz w:val="21"/>
          <w:szCs w:val="21"/>
        </w:rPr>
        <w:t>15 000 (пятнадцать тысяч) рублей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    </w:t>
      </w:r>
      <w:r>
        <w:rPr>
          <w:rStyle w:val="a4"/>
          <w:rFonts w:ascii="Verdana" w:hAnsi="Verdana"/>
          <w:color w:val="000000"/>
          <w:sz w:val="21"/>
          <w:szCs w:val="21"/>
        </w:rPr>
        <w:t>оплата с 21 июня - 20.000 (двадцать тысяч) рублей;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Оплата организационного взноса с каждого участника – </w:t>
      </w:r>
      <w:r>
        <w:rPr>
          <w:rStyle w:val="a4"/>
          <w:rFonts w:ascii="Verdana" w:hAnsi="Verdana"/>
          <w:color w:val="000000"/>
          <w:sz w:val="21"/>
          <w:szCs w:val="21"/>
        </w:rPr>
        <w:t>1200 (одна тысяча двести)</w:t>
      </w:r>
      <w:r>
        <w:rPr>
          <w:rFonts w:ascii="Verdana" w:hAnsi="Verdana"/>
          <w:color w:val="000000"/>
          <w:sz w:val="21"/>
          <w:szCs w:val="21"/>
        </w:rPr>
        <w:t> рублей, включая проживание в палаточном городке, охраняемую стоянку, культурную программу;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Проезд и питание за счет командирующей организации.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 </w:t>
      </w:r>
      <w:r>
        <w:rPr>
          <w:rStyle w:val="a4"/>
          <w:rFonts w:ascii="Verdana" w:hAnsi="Verdana"/>
          <w:color w:val="000000"/>
          <w:sz w:val="21"/>
          <w:szCs w:val="21"/>
        </w:rPr>
        <w:t>Прием заявок</w:t>
      </w:r>
      <w:r>
        <w:rPr>
          <w:rFonts w:ascii="Verdana" w:hAnsi="Verdana"/>
          <w:color w:val="000000"/>
          <w:sz w:val="21"/>
          <w:szCs w:val="21"/>
        </w:rPr>
        <w:t> на участие в очном этапе </w:t>
      </w:r>
      <w:r>
        <w:rPr>
          <w:rStyle w:val="a4"/>
          <w:rFonts w:ascii="Verdana" w:hAnsi="Verdana"/>
          <w:color w:val="000000"/>
          <w:sz w:val="21"/>
          <w:szCs w:val="21"/>
        </w:rPr>
        <w:t>до 25 июня 2019 г.</w:t>
      </w:r>
      <w:r>
        <w:rPr>
          <w:rFonts w:ascii="Verdana" w:hAnsi="Verdana"/>
          <w:color w:val="000000"/>
          <w:sz w:val="21"/>
          <w:szCs w:val="21"/>
        </w:rPr>
        <w:t>,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• Организационный взнос от каждого улуса направить до 20 июня 2019 г. на расчетный счет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:</w:t>
      </w:r>
      <w:proofErr w:type="gramEnd"/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Управление финансов МР «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улус»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(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Таттинское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УУО)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ИНН 1425001725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КПП 142501001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Лицевой счет 55436208660</w:t>
      </w:r>
      <w:bookmarkStart w:id="0" w:name="_GoBack"/>
      <w:bookmarkEnd w:id="0"/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Расчетный счет 40302810007005019323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В АКБ «</w:t>
      </w:r>
      <w:proofErr w:type="spellStart"/>
      <w:r>
        <w:rPr>
          <w:rFonts w:ascii="Verdana" w:hAnsi="Verdana"/>
          <w:color w:val="000000"/>
          <w:sz w:val="21"/>
          <w:szCs w:val="21"/>
        </w:rPr>
        <w:t>Алмазэргиэнбанк</w:t>
      </w:r>
      <w:proofErr w:type="spellEnd"/>
      <w:r>
        <w:rPr>
          <w:rFonts w:ascii="Verdana" w:hAnsi="Verdana"/>
          <w:color w:val="000000"/>
          <w:sz w:val="21"/>
          <w:szCs w:val="21"/>
        </w:rPr>
        <w:t>» ОА г. Якутск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БИК 049805770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Корр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счет 30101810300000000770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ОКАТО 98604000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Сайт МКУ «Улусное управление образования» МР «</w:t>
      </w:r>
      <w:proofErr w:type="spellStart"/>
      <w:r>
        <w:rPr>
          <w:rFonts w:ascii="Verdana" w:hAnsi="Verdana"/>
          <w:color w:val="000000"/>
          <w:sz w:val="21"/>
          <w:szCs w:val="21"/>
        </w:rPr>
        <w:t>Таттинский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улус»: www.uuotatta.ru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Телефоны для справок: приемная (8-411-52) 41-408, отдел содержания общего образования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Факс: (8-411-52) 41-408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Электронная почта: uuotatta@mail.ru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16357" w:rsidRDefault="00316357" w:rsidP="00316357">
      <w:pPr>
        <w:pStyle w:val="a3"/>
        <w:shd w:val="clear" w:color="auto" w:fill="F4EFE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224E0B" w:rsidRDefault="00224E0B"/>
    <w:sectPr w:rsidR="0022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57"/>
    <w:rsid w:val="00224E0B"/>
    <w:rsid w:val="003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2019-06-19T00:22:00Z</dcterms:created>
  <dcterms:modified xsi:type="dcterms:W3CDTF">2019-06-19T00:24:00Z</dcterms:modified>
</cp:coreProperties>
</file>